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6D319ABD">
            <w:pPr>
              <w:spacing w:line="720" w:lineRule="auto"/>
              <w:jc w:val="center"/>
              <w:rPr>
                <w:rFonts w:eastAsia="黑体" w:cs="黑体"/>
                <w:spacing w:val="20"/>
                <w:sz w:val="44"/>
                <w:szCs w:val="44"/>
              </w:rPr>
            </w:pPr>
            <w:r>
              <w:rPr>
                <w:rFonts w:hint="eastAsia" w:eastAsia="黑体" w:cs="黑体"/>
                <w:spacing w:val="20"/>
                <w:sz w:val="44"/>
                <w:szCs w:val="44"/>
              </w:rPr>
              <w:t>高温气冷堆核动力厂</w:t>
            </w:r>
          </w:p>
          <w:p w14:paraId="0813BE08">
            <w:pPr>
              <w:spacing w:line="720" w:lineRule="auto"/>
              <w:jc w:val="center"/>
              <w:rPr>
                <w:rFonts w:eastAsia="黑体" w:cs="黑体"/>
                <w:spacing w:val="20"/>
                <w:sz w:val="44"/>
                <w:szCs w:val="44"/>
              </w:rPr>
            </w:pPr>
            <w:r>
              <w:rPr>
                <w:rFonts w:hint="eastAsia" w:eastAsia="黑体" w:cs="黑体"/>
                <w:spacing w:val="20"/>
                <w:sz w:val="44"/>
                <w:szCs w:val="44"/>
              </w:rPr>
              <w:t>石墨堆芯支承结构设计准则</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color w:val="0070C0"/>
                <w:spacing w:val="20"/>
                <w:sz w:val="32"/>
              </w:rPr>
            </w:pPr>
            <w:r>
              <w:rPr>
                <w:rFonts w:hint="eastAsia" w:eastAsia="黑体"/>
                <w:color w:val="0070C0"/>
                <w:spacing w:val="20"/>
                <w:sz w:val="32"/>
              </w:rPr>
              <w:t>清华大学核能与新能源技术研究院</w:t>
            </w:r>
          </w:p>
          <w:p w14:paraId="36B81488">
            <w:pPr>
              <w:spacing w:line="360" w:lineRule="auto"/>
              <w:jc w:val="center"/>
              <w:rPr>
                <w:rFonts w:eastAsia="黑体"/>
                <w:sz w:val="28"/>
                <w:szCs w:val="28"/>
              </w:rPr>
            </w:pPr>
            <w:r>
              <w:rPr>
                <w:rFonts w:eastAsia="黑体"/>
                <w:spacing w:val="20"/>
                <w:sz w:val="32"/>
              </w:rPr>
              <w:t>20</w:t>
            </w:r>
            <w:r>
              <w:rPr>
                <w:rFonts w:hint="eastAsia" w:eastAsia="黑体"/>
                <w:spacing w:val="20"/>
                <w:sz w:val="32"/>
              </w:rPr>
              <w:t>26年7月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z w:val="32"/>
          <w:szCs w:val="32"/>
        </w:rPr>
      </w:pPr>
      <w:r>
        <w:rPr>
          <w:rFonts w:hint="eastAsia" w:ascii="黑体" w:eastAsia="黑体"/>
          <w:spacing w:val="20"/>
          <w:sz w:val="32"/>
          <w:szCs w:val="30"/>
        </w:rPr>
        <w:t>高温气冷堆核动力厂石墨堆芯支承结构设计准则</w:t>
      </w:r>
    </w:p>
    <w:p w14:paraId="3525292A">
      <w:pPr>
        <w:numPr>
          <w:ilvl w:val="0"/>
          <w:numId w:val="2"/>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hint="eastAsia" w:ascii="宋体" w:hAnsi="宋体"/>
          <w:color w:val="000000" w:themeColor="text1"/>
          <w:kern w:val="0"/>
          <w:sz w:val="24"/>
        </w:rPr>
      </w:pPr>
      <w:r>
        <w:rPr>
          <w:rFonts w:ascii="宋体" w:hAnsi="宋体"/>
          <w:color w:val="000000" w:themeColor="text1"/>
          <w:kern w:val="0"/>
          <w:sz w:val="24"/>
          <w:lang w:val="zh-CN"/>
        </w:rPr>
        <w:t>本标准</w:t>
      </w:r>
      <w:r>
        <w:rPr>
          <w:rFonts w:hint="eastAsia" w:ascii="宋体" w:hAnsi="宋体"/>
          <w:color w:val="000000" w:themeColor="text1"/>
          <w:kern w:val="0"/>
          <w:sz w:val="24"/>
          <w:lang w:val="zh-CN"/>
        </w:rPr>
        <w:t>制修订</w:t>
      </w:r>
      <w:r>
        <w:rPr>
          <w:rFonts w:ascii="宋体" w:hAnsi="宋体"/>
          <w:color w:val="000000" w:themeColor="text1"/>
          <w:kern w:val="0"/>
          <w:sz w:val="24"/>
          <w:lang w:val="zh-CN"/>
        </w:rPr>
        <w:t>任务由</w:t>
      </w:r>
      <w:r>
        <w:rPr>
          <w:rFonts w:hint="eastAsia" w:ascii="宋体" w:hAnsi="宋体"/>
          <w:color w:val="000000" w:themeColor="text1"/>
          <w:kern w:val="0"/>
          <w:sz w:val="24"/>
          <w:lang w:val="zh-CN"/>
        </w:rPr>
        <w:t>中国核学会《关于下达202</w:t>
      </w:r>
      <w:r>
        <w:rPr>
          <w:rFonts w:hint="eastAsia" w:ascii="宋体" w:hAnsi="宋体"/>
          <w:color w:val="000000" w:themeColor="text1"/>
          <w:kern w:val="0"/>
          <w:sz w:val="24"/>
        </w:rPr>
        <w:t>6</w:t>
      </w:r>
      <w:r>
        <w:rPr>
          <w:rFonts w:hint="eastAsia" w:ascii="宋体" w:hAnsi="宋体"/>
          <w:color w:val="000000" w:themeColor="text1"/>
          <w:kern w:val="0"/>
          <w:sz w:val="24"/>
          <w:lang w:val="zh-CN"/>
        </w:rPr>
        <w:t>年度第</w:t>
      </w:r>
      <w:r>
        <w:rPr>
          <w:rFonts w:hint="eastAsia" w:ascii="宋体" w:hAnsi="宋体"/>
          <w:color w:val="000000" w:themeColor="text1"/>
          <w:kern w:val="0"/>
          <w:sz w:val="24"/>
        </w:rPr>
        <w:t>二</w:t>
      </w:r>
      <w:r>
        <w:rPr>
          <w:rFonts w:hint="eastAsia" w:ascii="宋体" w:hAnsi="宋体"/>
          <w:color w:val="000000" w:themeColor="text1"/>
          <w:kern w:val="0"/>
          <w:sz w:val="24"/>
          <w:lang w:val="zh-CN"/>
        </w:rPr>
        <w:t>批核学会团体标准立项计划的通知》（中核学发【202</w:t>
      </w:r>
      <w:r>
        <w:rPr>
          <w:rFonts w:hint="eastAsia" w:ascii="宋体" w:hAnsi="宋体"/>
          <w:color w:val="000000" w:themeColor="text1"/>
          <w:kern w:val="0"/>
          <w:sz w:val="24"/>
        </w:rPr>
        <w:t>6</w:t>
      </w:r>
      <w:r>
        <w:rPr>
          <w:rFonts w:hint="eastAsia" w:ascii="宋体" w:hAnsi="宋体"/>
          <w:color w:val="000000" w:themeColor="text1"/>
          <w:kern w:val="0"/>
          <w:sz w:val="24"/>
          <w:lang w:val="zh-CN"/>
        </w:rPr>
        <w:t>】</w:t>
      </w:r>
      <w:r>
        <w:rPr>
          <w:rFonts w:hint="eastAsia" w:ascii="宋体" w:hAnsi="宋体"/>
          <w:color w:val="000000" w:themeColor="text1"/>
          <w:kern w:val="0"/>
          <w:sz w:val="24"/>
        </w:rPr>
        <w:t>115</w:t>
      </w:r>
      <w:r>
        <w:rPr>
          <w:rFonts w:hint="eastAsia" w:ascii="宋体" w:hAnsi="宋体"/>
          <w:color w:val="000000" w:themeColor="text1"/>
          <w:kern w:val="0"/>
          <w:sz w:val="24"/>
          <w:lang w:val="zh-CN"/>
        </w:rPr>
        <w:t>号）</w:t>
      </w:r>
      <w:r>
        <w:rPr>
          <w:rFonts w:ascii="宋体" w:hAnsi="宋体"/>
          <w:color w:val="000000" w:themeColor="text1"/>
          <w:kern w:val="0"/>
          <w:sz w:val="24"/>
          <w:lang w:val="zh-CN"/>
        </w:rPr>
        <w:t>，</w:t>
      </w:r>
      <w:r>
        <w:rPr>
          <w:rFonts w:hint="eastAsia" w:ascii="宋体" w:hAnsi="宋体"/>
          <w:color w:val="000000" w:themeColor="text1"/>
          <w:kern w:val="0"/>
          <w:sz w:val="24"/>
          <w:lang w:val="zh-CN"/>
        </w:rPr>
        <w:t>计划</w:t>
      </w:r>
      <w:r>
        <w:rPr>
          <w:rFonts w:ascii="宋体" w:hAnsi="宋体"/>
          <w:color w:val="000000" w:themeColor="text1"/>
          <w:kern w:val="0"/>
          <w:sz w:val="24"/>
          <w:lang w:val="zh-CN"/>
        </w:rPr>
        <w:t>编号</w:t>
      </w:r>
      <w:r>
        <w:rPr>
          <w:rFonts w:ascii="宋体" w:hAnsi="宋体"/>
          <w:color w:val="000000" w:themeColor="text1"/>
          <w:kern w:val="0"/>
          <w:sz w:val="24"/>
        </w:rPr>
        <w:t>为HTB2026012，</w:t>
      </w:r>
      <w:r>
        <w:rPr>
          <w:rFonts w:hint="eastAsia" w:ascii="宋体" w:hAnsi="宋体"/>
          <w:color w:val="000000" w:themeColor="text1"/>
          <w:kern w:val="0"/>
          <w:sz w:val="24"/>
        </w:rPr>
        <w:t>标准计划名称为《</w:t>
      </w:r>
      <w:r>
        <w:rPr>
          <w:rFonts w:ascii="宋体" w:hAnsi="宋体"/>
          <w:color w:val="000000" w:themeColor="text1"/>
          <w:kern w:val="0"/>
          <w:sz w:val="24"/>
        </w:rPr>
        <w:t>高温气冷堆核动力厂石墨堆芯支承结构设计准则</w:t>
      </w:r>
      <w:r>
        <w:rPr>
          <w:rFonts w:hint="eastAsia" w:ascii="宋体" w:hAnsi="宋体"/>
          <w:color w:val="000000" w:themeColor="text1"/>
          <w:kern w:val="0"/>
          <w:sz w:val="24"/>
        </w:rPr>
        <w:t>》，</w:t>
      </w:r>
      <w:r>
        <w:rPr>
          <w:rFonts w:ascii="宋体" w:hAnsi="宋体"/>
          <w:color w:val="000000" w:themeColor="text1"/>
          <w:kern w:val="0"/>
          <w:sz w:val="24"/>
        </w:rPr>
        <w:t>由清华大学核能与新能源技术研究院</w:t>
      </w:r>
      <w:r>
        <w:rPr>
          <w:rFonts w:hint="eastAsia" w:ascii="宋体" w:hAnsi="宋体"/>
          <w:color w:val="000000" w:themeColor="text1"/>
          <w:kern w:val="0"/>
          <w:sz w:val="24"/>
        </w:rPr>
        <w:t>、</w:t>
      </w:r>
      <w:r>
        <w:rPr>
          <w:rFonts w:ascii="宋体" w:hAnsi="宋体"/>
          <w:color w:val="000000" w:themeColor="text1"/>
          <w:kern w:val="0"/>
          <w:sz w:val="24"/>
        </w:rPr>
        <w:t>中核能源科技有限公司</w:t>
      </w:r>
      <w:r>
        <w:rPr>
          <w:rFonts w:hint="eastAsia" w:ascii="宋体" w:hAnsi="宋体"/>
          <w:color w:val="000000" w:themeColor="text1"/>
          <w:kern w:val="0"/>
          <w:sz w:val="24"/>
        </w:rPr>
        <w:t>起草</w:t>
      </w:r>
      <w:r>
        <w:rPr>
          <w:rFonts w:ascii="宋体" w:hAnsi="宋体"/>
          <w:color w:val="000000" w:themeColor="text1"/>
          <w:kern w:val="0"/>
          <w:sz w:val="24"/>
        </w:rPr>
        <w:t>，</w:t>
      </w:r>
      <w:r>
        <w:rPr>
          <w:rFonts w:hint="eastAsia" w:ascii="宋体" w:hAnsi="宋体"/>
          <w:color w:val="000000" w:themeColor="text1"/>
          <w:kern w:val="0"/>
          <w:sz w:val="24"/>
        </w:rPr>
        <w:t>要求</w:t>
      </w:r>
      <w:r>
        <w:rPr>
          <w:rFonts w:ascii="宋体" w:hAnsi="宋体"/>
          <w:color w:val="000000" w:themeColor="text1"/>
          <w:kern w:val="0"/>
          <w:sz w:val="24"/>
        </w:rPr>
        <w:t>于20</w:t>
      </w:r>
      <w:r>
        <w:rPr>
          <w:rFonts w:hint="eastAsia" w:ascii="宋体" w:hAnsi="宋体"/>
          <w:color w:val="000000" w:themeColor="text1"/>
          <w:kern w:val="0"/>
          <w:sz w:val="24"/>
        </w:rPr>
        <w:t>26</w:t>
      </w:r>
      <w:r>
        <w:rPr>
          <w:rFonts w:ascii="宋体" w:hAnsi="宋体"/>
          <w:color w:val="000000" w:themeColor="text1"/>
          <w:kern w:val="0"/>
          <w:sz w:val="24"/>
        </w:rPr>
        <w:t>年</w:t>
      </w:r>
      <w:r>
        <w:rPr>
          <w:rFonts w:hint="eastAsia" w:ascii="宋体" w:hAnsi="宋体"/>
          <w:color w:val="000000" w:themeColor="text1"/>
          <w:kern w:val="0"/>
          <w:sz w:val="24"/>
        </w:rPr>
        <w:t>12</w:t>
      </w:r>
      <w:r>
        <w:rPr>
          <w:rFonts w:ascii="宋体" w:hAnsi="宋体"/>
          <w:color w:val="000000" w:themeColor="text1"/>
          <w:kern w:val="0"/>
          <w:sz w:val="24"/>
        </w:rPr>
        <w:t>月完成</w:t>
      </w:r>
      <w:r>
        <w:rPr>
          <w:rFonts w:hint="eastAsia" w:ascii="宋体" w:hAnsi="宋体"/>
          <w:color w:val="000000" w:themeColor="text1"/>
          <w:kern w:val="0"/>
          <w:sz w:val="24"/>
        </w:rPr>
        <w:t>本项目</w:t>
      </w:r>
      <w:r>
        <w:rPr>
          <w:rFonts w:ascii="宋体" w:hAnsi="宋体"/>
          <w:color w:val="000000" w:themeColor="text1"/>
          <w:kern w:val="0"/>
          <w:sz w:val="24"/>
        </w:rPr>
        <w:t>。</w:t>
      </w:r>
    </w:p>
    <w:p w14:paraId="419FF928">
      <w:pPr>
        <w:numPr>
          <w:ilvl w:val="0"/>
          <w:numId w:val="2"/>
        </w:numPr>
        <w:spacing w:before="240" w:after="240" w:line="360" w:lineRule="auto"/>
        <w:rPr>
          <w:rFonts w:eastAsia="黑体"/>
          <w:sz w:val="28"/>
          <w:szCs w:val="28"/>
        </w:rPr>
      </w:pPr>
      <w:r>
        <w:rPr>
          <w:rFonts w:hint="eastAsia" w:eastAsia="黑体"/>
          <w:sz w:val="28"/>
          <w:szCs w:val="28"/>
        </w:rPr>
        <w:t>标准编制组组成</w:t>
      </w:r>
    </w:p>
    <w:p w14:paraId="768EBE23">
      <w:pPr>
        <w:spacing w:line="360" w:lineRule="auto"/>
        <w:ind w:firstLine="480" w:firstLineChars="200"/>
        <w:rPr>
          <w:rFonts w:hint="eastAsia"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hint="eastAsia"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006"/>
        <w:gridCol w:w="4000"/>
        <w:gridCol w:w="1505"/>
        <w:gridCol w:w="1254"/>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57435D04">
            <w:pPr>
              <w:spacing w:line="360" w:lineRule="auto"/>
              <w:jc w:val="center"/>
              <w:rPr>
                <w:rFonts w:hint="eastAsia" w:ascii="宋体" w:hAnsi="宋体"/>
                <w:szCs w:val="21"/>
              </w:rPr>
            </w:pPr>
            <w:r>
              <w:rPr>
                <w:rFonts w:hint="eastAsia" w:ascii="宋体" w:hAnsi="宋体"/>
                <w:szCs w:val="21"/>
              </w:rPr>
              <w:t>序号</w:t>
            </w:r>
          </w:p>
        </w:tc>
        <w:tc>
          <w:tcPr>
            <w:tcW w:w="590" w:type="pct"/>
          </w:tcPr>
          <w:p w14:paraId="67DB6774">
            <w:pPr>
              <w:spacing w:line="360" w:lineRule="auto"/>
              <w:jc w:val="center"/>
              <w:rPr>
                <w:rFonts w:hint="eastAsia" w:ascii="宋体" w:hAnsi="宋体"/>
                <w:szCs w:val="21"/>
              </w:rPr>
            </w:pPr>
            <w:r>
              <w:rPr>
                <w:rFonts w:hint="eastAsia" w:ascii="宋体" w:hAnsi="宋体"/>
                <w:szCs w:val="21"/>
              </w:rPr>
              <w:t>姓名</w:t>
            </w:r>
          </w:p>
        </w:tc>
        <w:tc>
          <w:tcPr>
            <w:tcW w:w="2347" w:type="pct"/>
          </w:tcPr>
          <w:p w14:paraId="1E24855A">
            <w:pPr>
              <w:spacing w:line="360" w:lineRule="auto"/>
              <w:jc w:val="center"/>
              <w:rPr>
                <w:rFonts w:hint="eastAsia" w:ascii="宋体" w:hAnsi="宋体"/>
                <w:szCs w:val="21"/>
              </w:rPr>
            </w:pPr>
            <w:r>
              <w:rPr>
                <w:rFonts w:hint="eastAsia" w:ascii="宋体" w:hAnsi="宋体"/>
                <w:szCs w:val="21"/>
              </w:rPr>
              <w:t>单位</w:t>
            </w:r>
          </w:p>
        </w:tc>
        <w:tc>
          <w:tcPr>
            <w:tcW w:w="883" w:type="pct"/>
          </w:tcPr>
          <w:p w14:paraId="5934D40D">
            <w:pPr>
              <w:spacing w:line="360" w:lineRule="auto"/>
              <w:jc w:val="center"/>
              <w:rPr>
                <w:rFonts w:hint="eastAsia" w:ascii="宋体" w:hAnsi="宋体"/>
                <w:szCs w:val="21"/>
              </w:rPr>
            </w:pPr>
            <w:r>
              <w:rPr>
                <w:rFonts w:hint="eastAsia" w:ascii="宋体" w:hAnsi="宋体"/>
                <w:szCs w:val="21"/>
              </w:rPr>
              <w:t>职务/职称</w:t>
            </w:r>
          </w:p>
        </w:tc>
        <w:tc>
          <w:tcPr>
            <w:tcW w:w="736" w:type="pct"/>
          </w:tcPr>
          <w:p w14:paraId="45C3EC0E">
            <w:pPr>
              <w:spacing w:line="360" w:lineRule="auto"/>
              <w:jc w:val="center"/>
              <w:rPr>
                <w:rFonts w:hint="eastAsia"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3A8F9028">
            <w:pPr>
              <w:spacing w:line="360" w:lineRule="auto"/>
              <w:jc w:val="center"/>
              <w:rPr>
                <w:rFonts w:hint="eastAsia" w:ascii="宋体" w:hAnsi="宋体"/>
                <w:szCs w:val="21"/>
              </w:rPr>
            </w:pPr>
            <w:r>
              <w:rPr>
                <w:rFonts w:hint="eastAsia" w:ascii="宋体" w:hAnsi="宋体"/>
                <w:szCs w:val="21"/>
              </w:rPr>
              <w:t>1</w:t>
            </w:r>
          </w:p>
        </w:tc>
        <w:tc>
          <w:tcPr>
            <w:tcW w:w="590" w:type="pct"/>
          </w:tcPr>
          <w:p w14:paraId="1EF73D3C">
            <w:pPr>
              <w:spacing w:line="360" w:lineRule="auto"/>
              <w:jc w:val="center"/>
              <w:rPr>
                <w:rFonts w:hint="eastAsia" w:ascii="宋体" w:hAnsi="宋体"/>
                <w:szCs w:val="21"/>
              </w:rPr>
            </w:pPr>
            <w:r>
              <w:rPr>
                <w:rFonts w:hint="eastAsia"/>
              </w:rPr>
              <w:t>周俊杰</w:t>
            </w:r>
          </w:p>
        </w:tc>
        <w:tc>
          <w:tcPr>
            <w:tcW w:w="2347" w:type="pct"/>
          </w:tcPr>
          <w:p w14:paraId="4B013CC0">
            <w:pPr>
              <w:spacing w:line="360" w:lineRule="auto"/>
              <w:jc w:val="center"/>
              <w:rPr>
                <w:rFonts w:hint="eastAsia" w:ascii="宋体" w:hAnsi="宋体"/>
                <w:szCs w:val="21"/>
              </w:rPr>
            </w:pPr>
            <w:r>
              <w:rPr>
                <w:rFonts w:hint="eastAsia"/>
              </w:rPr>
              <w:t>清华大学核能与新能源技术研究院</w:t>
            </w:r>
          </w:p>
        </w:tc>
        <w:tc>
          <w:tcPr>
            <w:tcW w:w="883" w:type="pct"/>
          </w:tcPr>
          <w:p w14:paraId="31836779">
            <w:pPr>
              <w:spacing w:line="360" w:lineRule="auto"/>
              <w:jc w:val="center"/>
              <w:rPr>
                <w:rFonts w:hint="eastAsia" w:ascii="宋体" w:hAnsi="宋体"/>
                <w:szCs w:val="21"/>
              </w:rPr>
            </w:pPr>
            <w:r>
              <w:rPr>
                <w:rFonts w:hint="eastAsia"/>
              </w:rPr>
              <w:t>助理研究员</w:t>
            </w:r>
          </w:p>
        </w:tc>
        <w:tc>
          <w:tcPr>
            <w:tcW w:w="736" w:type="pct"/>
          </w:tcPr>
          <w:p w14:paraId="4ADB2E21">
            <w:pPr>
              <w:spacing w:line="360" w:lineRule="auto"/>
              <w:jc w:val="center"/>
              <w:rPr>
                <w:rFonts w:hint="eastAsia" w:ascii="宋体" w:hAnsi="宋体"/>
                <w:szCs w:val="21"/>
              </w:rPr>
            </w:pPr>
            <w:r>
              <w:rPr>
                <w:rFonts w:hint="eastAsia"/>
              </w:rPr>
              <w:t>编制全文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2B423FA8">
            <w:pPr>
              <w:spacing w:line="360" w:lineRule="auto"/>
              <w:jc w:val="center"/>
              <w:rPr>
                <w:rFonts w:hint="eastAsia" w:ascii="宋体" w:hAnsi="宋体"/>
                <w:szCs w:val="21"/>
              </w:rPr>
            </w:pPr>
            <w:r>
              <w:rPr>
                <w:rFonts w:hint="eastAsia" w:ascii="宋体" w:hAnsi="宋体"/>
                <w:szCs w:val="21"/>
              </w:rPr>
              <w:t>2</w:t>
            </w:r>
          </w:p>
        </w:tc>
        <w:tc>
          <w:tcPr>
            <w:tcW w:w="590" w:type="pct"/>
          </w:tcPr>
          <w:p w14:paraId="0D9AFBD7">
            <w:pPr>
              <w:spacing w:line="360" w:lineRule="auto"/>
              <w:jc w:val="center"/>
              <w:rPr>
                <w:rFonts w:hint="eastAsia" w:ascii="宋体" w:hAnsi="宋体"/>
                <w:szCs w:val="21"/>
              </w:rPr>
            </w:pPr>
            <w:r>
              <w:rPr>
                <w:rFonts w:hint="eastAsia"/>
              </w:rPr>
              <w:t>史力</w:t>
            </w:r>
          </w:p>
        </w:tc>
        <w:tc>
          <w:tcPr>
            <w:tcW w:w="2347" w:type="pct"/>
          </w:tcPr>
          <w:p w14:paraId="5EFB73F9">
            <w:pPr>
              <w:spacing w:line="360" w:lineRule="auto"/>
              <w:jc w:val="center"/>
              <w:rPr>
                <w:rFonts w:hint="eastAsia" w:ascii="宋体" w:hAnsi="宋体"/>
                <w:szCs w:val="21"/>
              </w:rPr>
            </w:pPr>
            <w:r>
              <w:rPr>
                <w:rFonts w:hint="eastAsia"/>
              </w:rPr>
              <w:t>清华大学核能与新能源技术研究院</w:t>
            </w:r>
          </w:p>
        </w:tc>
        <w:tc>
          <w:tcPr>
            <w:tcW w:w="883" w:type="pct"/>
          </w:tcPr>
          <w:p w14:paraId="2C52E4C1">
            <w:pPr>
              <w:spacing w:line="360" w:lineRule="auto"/>
              <w:jc w:val="center"/>
              <w:rPr>
                <w:rFonts w:hint="eastAsia" w:ascii="宋体" w:hAnsi="宋体"/>
                <w:szCs w:val="21"/>
              </w:rPr>
            </w:pPr>
            <w:r>
              <w:rPr>
                <w:rFonts w:hint="eastAsia"/>
              </w:rPr>
              <w:t>研究员</w:t>
            </w:r>
          </w:p>
        </w:tc>
        <w:tc>
          <w:tcPr>
            <w:tcW w:w="736" w:type="pct"/>
          </w:tcPr>
          <w:p w14:paraId="4E309C04">
            <w:pPr>
              <w:spacing w:line="360" w:lineRule="auto"/>
              <w:jc w:val="center"/>
              <w:rPr>
                <w:rFonts w:hint="eastAsia" w:ascii="宋体" w:hAnsi="宋体"/>
                <w:szCs w:val="21"/>
              </w:rPr>
            </w:pPr>
            <w:r>
              <w:rPr>
                <w:rFonts w:hint="eastAsia"/>
              </w:rPr>
              <w:t>校核全文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3B66BF3C">
            <w:pPr>
              <w:spacing w:line="360" w:lineRule="auto"/>
              <w:jc w:val="center"/>
              <w:rPr>
                <w:rFonts w:hint="eastAsia" w:ascii="宋体" w:hAnsi="宋体"/>
                <w:szCs w:val="21"/>
              </w:rPr>
            </w:pPr>
            <w:r>
              <w:rPr>
                <w:rFonts w:hint="eastAsia" w:ascii="宋体" w:hAnsi="宋体"/>
                <w:szCs w:val="21"/>
              </w:rPr>
              <w:t>3</w:t>
            </w:r>
          </w:p>
        </w:tc>
        <w:tc>
          <w:tcPr>
            <w:tcW w:w="590" w:type="pct"/>
          </w:tcPr>
          <w:p w14:paraId="13279C9A">
            <w:pPr>
              <w:spacing w:line="360" w:lineRule="auto"/>
              <w:jc w:val="center"/>
              <w:rPr>
                <w:rFonts w:hint="eastAsia" w:ascii="宋体" w:hAnsi="宋体"/>
                <w:szCs w:val="21"/>
              </w:rPr>
            </w:pPr>
            <w:r>
              <w:rPr>
                <w:rFonts w:hint="eastAsia"/>
              </w:rPr>
              <w:t>孙立斌</w:t>
            </w:r>
          </w:p>
        </w:tc>
        <w:tc>
          <w:tcPr>
            <w:tcW w:w="2347" w:type="pct"/>
          </w:tcPr>
          <w:p w14:paraId="213D8EEA">
            <w:pPr>
              <w:spacing w:line="360" w:lineRule="auto"/>
              <w:jc w:val="center"/>
              <w:rPr>
                <w:rFonts w:hint="eastAsia" w:ascii="宋体" w:hAnsi="宋体"/>
                <w:szCs w:val="21"/>
              </w:rPr>
            </w:pPr>
            <w:r>
              <w:rPr>
                <w:rFonts w:hint="eastAsia"/>
              </w:rPr>
              <w:t>清华大学核能与新能源技术研究院</w:t>
            </w:r>
          </w:p>
        </w:tc>
        <w:tc>
          <w:tcPr>
            <w:tcW w:w="883" w:type="pct"/>
          </w:tcPr>
          <w:p w14:paraId="59DCF5BC">
            <w:pPr>
              <w:spacing w:line="360" w:lineRule="auto"/>
              <w:jc w:val="center"/>
              <w:rPr>
                <w:rFonts w:hint="eastAsia" w:ascii="宋体" w:hAnsi="宋体"/>
                <w:szCs w:val="21"/>
              </w:rPr>
            </w:pPr>
            <w:r>
              <w:rPr>
                <w:rFonts w:hint="eastAsia"/>
              </w:rPr>
              <w:t>教授</w:t>
            </w:r>
          </w:p>
        </w:tc>
        <w:tc>
          <w:tcPr>
            <w:tcW w:w="736" w:type="pct"/>
          </w:tcPr>
          <w:p w14:paraId="1133CB5D">
            <w:pPr>
              <w:spacing w:line="360" w:lineRule="auto"/>
              <w:jc w:val="center"/>
              <w:rPr>
                <w:rFonts w:hint="eastAsia" w:ascii="宋体" w:hAnsi="宋体"/>
                <w:szCs w:val="21"/>
              </w:rPr>
            </w:pPr>
            <w:r>
              <w:rPr>
                <w:rFonts w:hint="eastAsia"/>
              </w:rPr>
              <w:t>审核全文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64393805">
            <w:pPr>
              <w:spacing w:line="360" w:lineRule="auto"/>
              <w:jc w:val="center"/>
              <w:rPr>
                <w:rFonts w:hint="eastAsia" w:ascii="宋体" w:hAnsi="宋体"/>
                <w:szCs w:val="21"/>
              </w:rPr>
            </w:pPr>
            <w:r>
              <w:rPr>
                <w:rFonts w:hint="eastAsia" w:ascii="宋体" w:hAnsi="宋体"/>
                <w:szCs w:val="21"/>
              </w:rPr>
              <w:t>4</w:t>
            </w:r>
          </w:p>
        </w:tc>
        <w:tc>
          <w:tcPr>
            <w:tcW w:w="590" w:type="pct"/>
          </w:tcPr>
          <w:p w14:paraId="1F507696">
            <w:pPr>
              <w:spacing w:line="360" w:lineRule="auto"/>
              <w:jc w:val="center"/>
              <w:rPr>
                <w:rFonts w:hint="eastAsia" w:ascii="宋体" w:hAnsi="宋体"/>
                <w:szCs w:val="21"/>
              </w:rPr>
            </w:pPr>
            <w:r>
              <w:rPr>
                <w:rFonts w:hint="eastAsia"/>
              </w:rPr>
              <w:t>阎慧杰</w:t>
            </w:r>
          </w:p>
        </w:tc>
        <w:tc>
          <w:tcPr>
            <w:tcW w:w="2347" w:type="pct"/>
          </w:tcPr>
          <w:p w14:paraId="36388F14">
            <w:pPr>
              <w:spacing w:line="360" w:lineRule="auto"/>
              <w:jc w:val="center"/>
              <w:rPr>
                <w:rFonts w:hint="eastAsia" w:ascii="宋体" w:hAnsi="宋体"/>
                <w:szCs w:val="21"/>
              </w:rPr>
            </w:pPr>
            <w:r>
              <w:rPr>
                <w:rFonts w:hint="eastAsia"/>
              </w:rPr>
              <w:t>清华大学核能与新能源技术研究院</w:t>
            </w:r>
          </w:p>
        </w:tc>
        <w:tc>
          <w:tcPr>
            <w:tcW w:w="883" w:type="pct"/>
          </w:tcPr>
          <w:p w14:paraId="0E26E29D">
            <w:pPr>
              <w:spacing w:line="360" w:lineRule="auto"/>
              <w:jc w:val="center"/>
              <w:rPr>
                <w:rFonts w:hint="eastAsia" w:ascii="宋体" w:hAnsi="宋体"/>
                <w:szCs w:val="21"/>
              </w:rPr>
            </w:pPr>
            <w:r>
              <w:rPr>
                <w:rFonts w:hint="eastAsia"/>
              </w:rPr>
              <w:t>高级工程师</w:t>
            </w:r>
          </w:p>
        </w:tc>
        <w:tc>
          <w:tcPr>
            <w:tcW w:w="736" w:type="pct"/>
          </w:tcPr>
          <w:p w14:paraId="00D4BE1F">
            <w:pPr>
              <w:spacing w:line="360" w:lineRule="auto"/>
              <w:jc w:val="center"/>
              <w:rPr>
                <w:rFonts w:hint="eastAsia" w:ascii="宋体" w:hAnsi="宋体"/>
                <w:szCs w:val="21"/>
              </w:rPr>
            </w:pPr>
            <w:r>
              <w:rPr>
                <w:rFonts w:hint="eastAsia"/>
              </w:rPr>
              <w:t>参与校审</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082F319F">
            <w:pPr>
              <w:spacing w:line="360" w:lineRule="auto"/>
              <w:jc w:val="center"/>
              <w:rPr>
                <w:rFonts w:hint="eastAsia" w:ascii="宋体" w:hAnsi="宋体"/>
                <w:szCs w:val="21"/>
              </w:rPr>
            </w:pPr>
            <w:r>
              <w:rPr>
                <w:rFonts w:hint="eastAsia" w:ascii="宋体" w:hAnsi="宋体"/>
                <w:szCs w:val="21"/>
              </w:rPr>
              <w:t>5</w:t>
            </w:r>
          </w:p>
        </w:tc>
        <w:tc>
          <w:tcPr>
            <w:tcW w:w="590" w:type="pct"/>
          </w:tcPr>
          <w:p w14:paraId="44CA515A">
            <w:pPr>
              <w:spacing w:line="360" w:lineRule="auto"/>
              <w:jc w:val="center"/>
              <w:rPr>
                <w:rFonts w:hint="eastAsia" w:ascii="宋体" w:hAnsi="宋体"/>
                <w:szCs w:val="21"/>
              </w:rPr>
            </w:pPr>
            <w:r>
              <w:rPr>
                <w:rFonts w:hint="eastAsia"/>
              </w:rPr>
              <w:t>汪垠</w:t>
            </w:r>
          </w:p>
        </w:tc>
        <w:tc>
          <w:tcPr>
            <w:tcW w:w="2347" w:type="pct"/>
          </w:tcPr>
          <w:p w14:paraId="39CD06DC">
            <w:pPr>
              <w:spacing w:line="360" w:lineRule="auto"/>
              <w:jc w:val="center"/>
              <w:rPr>
                <w:rFonts w:hint="eastAsia" w:ascii="宋体" w:hAnsi="宋体"/>
                <w:szCs w:val="21"/>
              </w:rPr>
            </w:pPr>
            <w:r>
              <w:rPr>
                <w:rFonts w:hint="eastAsia"/>
              </w:rPr>
              <w:t>中核能源科技有限公司</w:t>
            </w:r>
          </w:p>
        </w:tc>
        <w:tc>
          <w:tcPr>
            <w:tcW w:w="883" w:type="pct"/>
          </w:tcPr>
          <w:p w14:paraId="1FE10960">
            <w:pPr>
              <w:spacing w:line="360" w:lineRule="auto"/>
              <w:jc w:val="center"/>
              <w:rPr>
                <w:rFonts w:hint="eastAsia" w:ascii="宋体" w:hAnsi="宋体"/>
                <w:szCs w:val="21"/>
              </w:rPr>
            </w:pPr>
            <w:r>
              <w:rPr>
                <w:rFonts w:hint="eastAsia"/>
              </w:rPr>
              <w:t>高级工程师</w:t>
            </w:r>
          </w:p>
        </w:tc>
        <w:tc>
          <w:tcPr>
            <w:tcW w:w="736" w:type="pct"/>
          </w:tcPr>
          <w:p w14:paraId="25AA58FE">
            <w:pPr>
              <w:spacing w:line="360" w:lineRule="auto"/>
              <w:jc w:val="center"/>
              <w:rPr>
                <w:rFonts w:hint="eastAsia" w:ascii="宋体" w:hAnsi="宋体"/>
                <w:szCs w:val="21"/>
              </w:rPr>
            </w:pPr>
            <w:r>
              <w:rPr>
                <w:rFonts w:hint="eastAsia"/>
              </w:rPr>
              <w:t>参与校审</w:t>
            </w:r>
          </w:p>
        </w:tc>
      </w:tr>
      <w:tr w14:paraId="03F0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tcPr>
          <w:p w14:paraId="05849BE8">
            <w:pPr>
              <w:spacing w:line="360" w:lineRule="auto"/>
              <w:jc w:val="center"/>
              <w:rPr>
                <w:rFonts w:hint="eastAsia" w:ascii="宋体" w:hAnsi="宋体"/>
                <w:szCs w:val="21"/>
              </w:rPr>
            </w:pPr>
            <w:r>
              <w:rPr>
                <w:rFonts w:hint="eastAsia" w:ascii="宋体" w:hAnsi="宋体"/>
                <w:szCs w:val="21"/>
              </w:rPr>
              <w:t>6</w:t>
            </w:r>
          </w:p>
        </w:tc>
        <w:tc>
          <w:tcPr>
            <w:tcW w:w="590" w:type="pct"/>
          </w:tcPr>
          <w:p w14:paraId="4B5DB779">
            <w:pPr>
              <w:spacing w:line="360" w:lineRule="auto"/>
              <w:jc w:val="center"/>
              <w:rPr>
                <w:rFonts w:hint="eastAsia" w:ascii="宋体" w:hAnsi="宋体"/>
                <w:szCs w:val="21"/>
              </w:rPr>
            </w:pPr>
            <w:r>
              <w:rPr>
                <w:rFonts w:hint="eastAsia"/>
              </w:rPr>
              <w:t>易亚楠</w:t>
            </w:r>
          </w:p>
        </w:tc>
        <w:tc>
          <w:tcPr>
            <w:tcW w:w="2347" w:type="pct"/>
          </w:tcPr>
          <w:p w14:paraId="65546C87">
            <w:pPr>
              <w:spacing w:line="360" w:lineRule="auto"/>
              <w:jc w:val="center"/>
              <w:rPr>
                <w:rFonts w:hint="eastAsia" w:ascii="宋体" w:hAnsi="宋体"/>
                <w:szCs w:val="21"/>
              </w:rPr>
            </w:pPr>
            <w:r>
              <w:rPr>
                <w:rFonts w:hint="eastAsia"/>
              </w:rPr>
              <w:t>中核能源科技有限公司</w:t>
            </w:r>
          </w:p>
        </w:tc>
        <w:tc>
          <w:tcPr>
            <w:tcW w:w="883" w:type="pct"/>
          </w:tcPr>
          <w:p w14:paraId="72D4737F">
            <w:pPr>
              <w:spacing w:line="360" w:lineRule="auto"/>
              <w:jc w:val="center"/>
              <w:rPr>
                <w:rFonts w:hint="eastAsia" w:ascii="宋体" w:hAnsi="宋体"/>
                <w:szCs w:val="21"/>
              </w:rPr>
            </w:pPr>
            <w:r>
              <w:rPr>
                <w:rFonts w:hint="eastAsia"/>
              </w:rPr>
              <w:t>副研究员</w:t>
            </w:r>
          </w:p>
        </w:tc>
        <w:tc>
          <w:tcPr>
            <w:tcW w:w="736" w:type="pct"/>
          </w:tcPr>
          <w:p w14:paraId="5B5FC406">
            <w:pPr>
              <w:spacing w:line="360" w:lineRule="auto"/>
              <w:jc w:val="center"/>
              <w:rPr>
                <w:rFonts w:hint="eastAsia" w:ascii="宋体" w:hAnsi="宋体"/>
                <w:szCs w:val="21"/>
              </w:rPr>
            </w:pPr>
            <w:r>
              <w:rPr>
                <w:rFonts w:hint="eastAsia"/>
              </w:rPr>
              <w:t>参与校审</w:t>
            </w:r>
          </w:p>
        </w:tc>
      </w:tr>
    </w:tbl>
    <w:p w14:paraId="21A400A4">
      <w:pPr>
        <w:numPr>
          <w:ilvl w:val="0"/>
          <w:numId w:val="2"/>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hint="eastAsia" w:ascii="黑体" w:hAnsi="黑体" w:eastAsia="黑体"/>
          <w:kern w:val="0"/>
          <w:sz w:val="24"/>
        </w:rPr>
      </w:pPr>
      <w:r>
        <w:rPr>
          <w:rFonts w:hint="eastAsia" w:ascii="黑体" w:hAnsi="黑体" w:eastAsia="黑体"/>
          <w:kern w:val="0"/>
          <w:sz w:val="24"/>
        </w:rPr>
        <w:t>3.1 前期准备（2025年12月-2026年3月）</w:t>
      </w:r>
    </w:p>
    <w:p w14:paraId="27C68654">
      <w:pPr>
        <w:spacing w:line="360" w:lineRule="auto"/>
        <w:ind w:firstLine="480" w:firstLineChars="200"/>
        <w:rPr>
          <w:rFonts w:hint="eastAsia" w:ascii="宋体" w:hAnsi="宋体"/>
          <w:kern w:val="0"/>
          <w:sz w:val="24"/>
        </w:rPr>
      </w:pPr>
      <w:r>
        <w:rPr>
          <w:rFonts w:hint="eastAsia" w:ascii="宋体" w:hAnsi="宋体"/>
          <w:kern w:val="0"/>
          <w:sz w:val="24"/>
        </w:rPr>
        <w:t>在接到编制标准的任务后，清华大学核能与新能源技术研究院成立了标准编制工作组，成员包括高级职称5名，中级职称1名，分别负责相关的调研和标准编制工作。</w:t>
      </w:r>
    </w:p>
    <w:p w14:paraId="7ECCCC87">
      <w:pPr>
        <w:spacing w:line="360" w:lineRule="auto"/>
        <w:ind w:firstLine="480" w:firstLineChars="200"/>
        <w:rPr>
          <w:rFonts w:hint="eastAsia" w:ascii="宋体" w:hAnsi="宋体"/>
          <w:kern w:val="0"/>
          <w:sz w:val="24"/>
        </w:rPr>
      </w:pPr>
      <w:r>
        <w:rPr>
          <w:rFonts w:hint="eastAsia" w:ascii="宋体" w:hAnsi="宋体"/>
          <w:kern w:val="0"/>
          <w:sz w:val="24"/>
        </w:rPr>
        <w:t>在前期准备阶段成立标准编制小组和明确工作任务后，基于HTR-PM项目的技术文件，并结合国际和国内现行标准的有关要求，确立编制标准的构架以及技术内容。</w:t>
      </w:r>
    </w:p>
    <w:p w14:paraId="2A338496">
      <w:pPr>
        <w:spacing w:line="360" w:lineRule="auto"/>
        <w:ind w:firstLine="480" w:firstLineChars="200"/>
        <w:rPr>
          <w:rFonts w:hint="eastAsia" w:ascii="宋体" w:hAnsi="宋体"/>
          <w:color w:val="000000" w:themeColor="text1"/>
          <w:kern w:val="0"/>
          <w:sz w:val="24"/>
        </w:rPr>
      </w:pPr>
      <w:r>
        <w:rPr>
          <w:rFonts w:hint="eastAsia" w:ascii="宋体" w:hAnsi="宋体"/>
          <w:color w:val="000000" w:themeColor="text1"/>
          <w:kern w:val="0"/>
          <w:sz w:val="24"/>
        </w:rPr>
        <w:t>核工业标准化研究所于2026年2月5日于北京组织有关单位专家和代表召开了立项把关审查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hint="eastAsia" w:ascii="黑体" w:hAnsi="黑体" w:eastAsia="黑体"/>
          <w:kern w:val="0"/>
          <w:sz w:val="24"/>
        </w:rPr>
      </w:pPr>
      <w:r>
        <w:rPr>
          <w:rFonts w:hint="eastAsia" w:ascii="黑体" w:hAnsi="黑体" w:eastAsia="黑体"/>
          <w:kern w:val="0"/>
          <w:sz w:val="24"/>
        </w:rPr>
        <w:t>3.2 征求意见稿编制（2026年4月-2026年7月）</w:t>
      </w:r>
    </w:p>
    <w:p w14:paraId="3695066E">
      <w:pPr>
        <w:spacing w:line="360" w:lineRule="auto"/>
        <w:ind w:firstLine="480" w:firstLineChars="200"/>
        <w:rPr>
          <w:color w:val="000000" w:themeColor="text1"/>
          <w:sz w:val="24"/>
        </w:rPr>
      </w:pPr>
      <w:r>
        <w:rPr>
          <w:color w:val="000000" w:themeColor="text1"/>
          <w:sz w:val="24"/>
        </w:rPr>
        <w:t>在上述调研分析的基础上同时结合国内实际情况，起草了本标准的初稿</w:t>
      </w:r>
      <w:r>
        <w:rPr>
          <w:rFonts w:hint="eastAsia"/>
          <w:color w:val="000000" w:themeColor="text1"/>
          <w:sz w:val="24"/>
        </w:rPr>
        <w:t>。</w:t>
      </w:r>
      <w:r>
        <w:rPr>
          <w:color w:val="000000" w:themeColor="text1"/>
          <w:sz w:val="24"/>
        </w:rPr>
        <w:t>经过中国核学会团体标准立项把关会评审，主编单位内部进行多次反复讨论和修改，对标准内容进一步补充、完善、归纳和凝练，形成本标准的征求意见稿。</w:t>
      </w:r>
    </w:p>
    <w:p w14:paraId="25797C67">
      <w:pPr>
        <w:numPr>
          <w:ilvl w:val="0"/>
          <w:numId w:val="2"/>
        </w:numPr>
        <w:spacing w:before="240" w:after="240" w:line="360" w:lineRule="auto"/>
        <w:rPr>
          <w:rFonts w:hint="eastAsia"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hint="eastAsia"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hint="eastAsia"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w:t>
      </w:r>
      <w:bookmarkStart w:id="6" w:name="_GoBack"/>
      <w:bookmarkEnd w:id="6"/>
      <w:r>
        <w:rPr>
          <w:rFonts w:hint="eastAsia" w:asciiTheme="minorEastAsia" w:hAnsiTheme="minorEastAsia"/>
          <w:sz w:val="24"/>
          <w:szCs w:val="28"/>
          <w:lang w:val="de-DE"/>
        </w:rPr>
        <w:t>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第1部分：标准化文件的结构和起草规则》的规定起草。</w:t>
      </w:r>
    </w:p>
    <w:p w14:paraId="6FC23DFE">
      <w:pPr>
        <w:spacing w:before="240" w:line="360" w:lineRule="auto"/>
        <w:rPr>
          <w:rFonts w:hint="eastAsia" w:ascii="黑体" w:hAnsi="黑体" w:eastAsia="黑体"/>
          <w:kern w:val="0"/>
          <w:sz w:val="24"/>
        </w:rPr>
      </w:pPr>
      <w:r>
        <w:rPr>
          <w:rFonts w:hint="eastAsia" w:ascii="黑体" w:hAnsi="黑体" w:eastAsia="黑体"/>
          <w:kern w:val="0"/>
          <w:sz w:val="24"/>
        </w:rPr>
        <w:t>4.2主要内容</w:t>
      </w:r>
    </w:p>
    <w:p w14:paraId="489DF6F9">
      <w:pPr>
        <w:spacing w:before="240" w:line="360" w:lineRule="auto"/>
        <w:ind w:firstLine="480" w:firstLineChars="200"/>
        <w:rPr>
          <w:rFonts w:hint="eastAsia"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54C4502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下面按标准的条文顺序对标准内容说明如下。</w:t>
      </w:r>
    </w:p>
    <w:p w14:paraId="0A42E233">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1 标准结构范围</w:t>
      </w:r>
    </w:p>
    <w:p w14:paraId="42EC7AB2">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主要由范围、规范性引用文件、术语和定义、安全分级和质量等、功能要求、材料、设计、结构设计、部件制造与安装、石墨堆芯支承结构与其它堆芯支承结构或堆体接口的设计准则九部分组成。</w:t>
      </w:r>
    </w:p>
    <w:p w14:paraId="052BD30A">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2 范围</w:t>
      </w:r>
    </w:p>
    <w:p w14:paraId="7D4BC7F9">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规定了球床模块式高温气冷堆核电站石墨堆芯支承结构在设计时所必须满足的基本要求，本标准适用于球床模块式高温气冷堆石墨堆芯支承结构的设计。</w:t>
      </w:r>
    </w:p>
    <w:p w14:paraId="5F439524">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3 规范性引用文件</w:t>
      </w:r>
    </w:p>
    <w:p w14:paraId="3EBD5F5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规范性引用文件按照团体标准的统一导语，并根据被引用标准的情况，对所引用的标准采用不注日期引用和注日期引用。</w:t>
      </w:r>
    </w:p>
    <w:p w14:paraId="01FE8D15">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4 术语和定义</w:t>
      </w:r>
    </w:p>
    <w:p w14:paraId="1D770C43">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 xml:space="preserve">各向同性度 </w:t>
      </w:r>
      <w:r>
        <w:rPr>
          <w:rFonts w:asciiTheme="minorEastAsia" w:hAnsiTheme="minorEastAsia"/>
          <w:sz w:val="24"/>
          <w:szCs w:val="28"/>
          <w:lang w:val="de-DE"/>
        </w:rPr>
        <w:t>isotropy</w:t>
      </w:r>
    </w:p>
    <w:p w14:paraId="7B1E319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材料两个晶格方向（垂直与平行）上热膨胀系数的比值，一般大于1.0。</w:t>
      </w:r>
    </w:p>
    <w:p w14:paraId="5060869B">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 xml:space="preserve">辐照变形 </w:t>
      </w:r>
      <w:r>
        <w:rPr>
          <w:rFonts w:asciiTheme="minorEastAsia" w:hAnsiTheme="minorEastAsia"/>
          <w:sz w:val="24"/>
          <w:szCs w:val="28"/>
          <w:lang w:val="de-DE"/>
        </w:rPr>
        <w:t>irradiation deformation</w:t>
      </w:r>
    </w:p>
    <w:p w14:paraId="2218B6C3">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在高温快中子辐照条件下石墨体产生的变形，这种变形和温度变化及注量增加有关。一般地说，石墨在高温快中子辐照时先缩小，到达某个注量后开始肿胀。</w:t>
      </w:r>
    </w:p>
    <w:p w14:paraId="29281123">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辐照蠕变</w:t>
      </w:r>
      <w:r>
        <w:rPr>
          <w:rFonts w:asciiTheme="minorEastAsia" w:hAnsiTheme="minorEastAsia"/>
          <w:sz w:val="24"/>
          <w:szCs w:val="28"/>
          <w:lang w:val="de-DE"/>
        </w:rPr>
        <w:t>irradiation creep</w:t>
      </w:r>
    </w:p>
    <w:p w14:paraId="01262B55">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石墨在承受高温快中子辐照与应力条件下产生的非线性应变称为辐照蠕变，它和载荷、温度变化及注量增加有关。</w:t>
      </w:r>
    </w:p>
    <w:p w14:paraId="30591786">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5 安全分级和质量等</w:t>
      </w:r>
    </w:p>
    <w:p w14:paraId="64E839A2">
      <w:pPr>
        <w:spacing w:line="360" w:lineRule="auto"/>
        <w:ind w:firstLine="480"/>
        <w:rPr>
          <w:rFonts w:hint="eastAsia" w:asciiTheme="minorEastAsia" w:hAnsiTheme="minorEastAsia"/>
          <w:sz w:val="24"/>
          <w:szCs w:val="28"/>
          <w:lang w:val="de-DE"/>
        </w:rPr>
      </w:pPr>
      <w:bookmarkStart w:id="3" w:name="OLE_LINK7"/>
      <w:r>
        <w:rPr>
          <w:rFonts w:hint="eastAsia" w:asciiTheme="minorEastAsia" w:hAnsiTheme="minorEastAsia"/>
          <w:sz w:val="24"/>
          <w:szCs w:val="28"/>
          <w:lang w:val="de-DE"/>
        </w:rPr>
        <w:t>规定了高温气冷堆核石墨堆芯支承结构的</w:t>
      </w:r>
      <w:bookmarkEnd w:id="3"/>
      <w:r>
        <w:rPr>
          <w:rFonts w:hint="eastAsia" w:asciiTheme="minorEastAsia" w:hAnsiTheme="minorEastAsia"/>
          <w:sz w:val="24"/>
          <w:szCs w:val="28"/>
          <w:lang w:val="de-DE"/>
        </w:rPr>
        <w:t>安全等级、质量保证等级、抗震类别等。</w:t>
      </w:r>
    </w:p>
    <w:p w14:paraId="3BF7EBE8">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6 功能要求</w:t>
      </w:r>
    </w:p>
    <w:p w14:paraId="31220297">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规定了高温气冷堆石墨堆芯支承结构的主要功能。</w:t>
      </w:r>
    </w:p>
    <w:p w14:paraId="00CA367F">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7 材料</w:t>
      </w:r>
    </w:p>
    <w:p w14:paraId="68995F3B">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w:t>
      </w:r>
      <w:bookmarkStart w:id="4" w:name="OLE_LINK9"/>
      <w:r>
        <w:rPr>
          <w:rFonts w:hint="eastAsia" w:asciiTheme="minorEastAsia" w:hAnsiTheme="minorEastAsia"/>
          <w:sz w:val="24"/>
          <w:szCs w:val="28"/>
          <w:lang w:val="de-DE"/>
        </w:rPr>
        <w:t>定了高温气冷堆石墨堆芯支承结构</w:t>
      </w:r>
      <w:bookmarkEnd w:id="4"/>
      <w:r>
        <w:rPr>
          <w:rFonts w:asciiTheme="minorEastAsia" w:hAnsiTheme="minorEastAsia"/>
          <w:sz w:val="24"/>
          <w:szCs w:val="28"/>
          <w:lang w:val="de-DE"/>
        </w:rPr>
        <w:t>的材料</w:t>
      </w:r>
      <w:r>
        <w:rPr>
          <w:rFonts w:hint="eastAsia" w:asciiTheme="minorEastAsia" w:hAnsiTheme="minorEastAsia"/>
          <w:sz w:val="24"/>
          <w:szCs w:val="28"/>
          <w:lang w:val="de-DE"/>
        </w:rPr>
        <w:t>要求</w:t>
      </w:r>
      <w:r>
        <w:rPr>
          <w:rFonts w:asciiTheme="minorEastAsia" w:hAnsiTheme="minorEastAsia"/>
          <w:sz w:val="24"/>
          <w:szCs w:val="28"/>
          <w:lang w:val="de-DE"/>
        </w:rPr>
        <w:t>。</w:t>
      </w:r>
    </w:p>
    <w:p w14:paraId="5EE74402">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8 设计</w:t>
      </w:r>
    </w:p>
    <w:p w14:paraId="6928E368">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规定了高温气冷堆石墨堆芯支承结构的载荷、工况分类、载荷分级、分析和评价方法、限值规定等内容。</w:t>
      </w:r>
    </w:p>
    <w:p w14:paraId="60A8EF16">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9 结构设计、部件制造与安装</w:t>
      </w:r>
    </w:p>
    <w:p w14:paraId="4BE904D2">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规定了高温气冷堆石墨堆芯支承结构的结构设计、制造和安装等内容。</w:t>
      </w:r>
    </w:p>
    <w:p w14:paraId="456AC05C">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10 石墨堆芯支承结构与其它堆芯支承结构或堆体接口的设计准则</w:t>
      </w:r>
    </w:p>
    <w:p w14:paraId="3884ABEC">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规定了高温气冷堆石墨堆芯支承结构与与其它堆芯支承结构或堆体接口内容。</w:t>
      </w:r>
    </w:p>
    <w:p w14:paraId="025AD923">
      <w:pPr>
        <w:spacing w:before="240" w:line="360" w:lineRule="auto"/>
        <w:ind w:firstLine="480" w:firstLineChars="200"/>
        <w:rPr>
          <w:rFonts w:hint="eastAsia" w:ascii="黑体" w:hAnsi="黑体" w:eastAsia="黑体"/>
          <w:kern w:val="0"/>
          <w:sz w:val="24"/>
        </w:rPr>
      </w:pPr>
      <w:r>
        <w:rPr>
          <w:rFonts w:hint="eastAsia" w:ascii="黑体" w:hAnsi="黑体" w:eastAsia="黑体"/>
          <w:kern w:val="0"/>
          <w:sz w:val="24"/>
        </w:rPr>
        <w:t>2、修订说明（如修订项目）</w:t>
      </w:r>
    </w:p>
    <w:p w14:paraId="61899AB1">
      <w:pPr>
        <w:spacing w:line="360" w:lineRule="auto"/>
        <w:ind w:firstLine="480"/>
        <w:rPr>
          <w:rFonts w:hint="eastAsia" w:asciiTheme="minorEastAsia" w:hAnsiTheme="minorEastAsia"/>
          <w:sz w:val="28"/>
        </w:rPr>
      </w:pPr>
      <w:r>
        <w:rPr>
          <w:rFonts w:hint="eastAsia" w:ascii="Calibri" w:hAnsi="Calibri" w:eastAsia="宋体" w:cs="Times New Roman"/>
          <w:sz w:val="24"/>
        </w:rPr>
        <w:t>无。</w:t>
      </w:r>
    </w:p>
    <w:p w14:paraId="79C0E63B">
      <w:pPr>
        <w:numPr>
          <w:ilvl w:val="0"/>
          <w:numId w:val="2"/>
        </w:numPr>
        <w:spacing w:before="240" w:after="240" w:line="360" w:lineRule="auto"/>
        <w:rPr>
          <w:rFonts w:hint="eastAsia" w:ascii="黑体" w:hAnsi="宋体" w:eastAsia="黑体"/>
          <w:sz w:val="28"/>
          <w:szCs w:val="28"/>
        </w:rPr>
      </w:pPr>
      <w:r>
        <w:rPr>
          <w:rFonts w:hint="eastAsia" w:ascii="黑体" w:hAnsi="宋体" w:eastAsia="黑体"/>
          <w:sz w:val="28"/>
          <w:szCs w:val="28"/>
        </w:rPr>
        <w:t>国内外相关标准现状分析</w:t>
      </w:r>
    </w:p>
    <w:p w14:paraId="6700D8AF">
      <w:pPr>
        <w:spacing w:before="240" w:line="360" w:lineRule="auto"/>
        <w:rPr>
          <w:rFonts w:hint="eastAsia" w:ascii="黑体" w:hAnsi="黑体" w:eastAsia="黑体"/>
          <w:kern w:val="0"/>
          <w:sz w:val="24"/>
        </w:rPr>
      </w:pPr>
      <w:r>
        <w:rPr>
          <w:rFonts w:hint="eastAsia" w:ascii="黑体" w:hAnsi="黑体" w:eastAsia="黑体"/>
          <w:kern w:val="0"/>
          <w:sz w:val="24"/>
        </w:rPr>
        <w:t>5</w:t>
      </w:r>
      <w:r>
        <w:rPr>
          <w:rFonts w:ascii="黑体" w:hAnsi="黑体" w:eastAsia="黑体"/>
          <w:kern w:val="0"/>
          <w:sz w:val="24"/>
        </w:rPr>
        <w:t>.1 我国相关标准现状分析</w:t>
      </w:r>
    </w:p>
    <w:p w14:paraId="2685A830">
      <w:pPr>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目前国标、行标相关标准基本是针对民用产品，并不能完全适用于高温堆，通过制定高温堆相关的标准有利于形成高温堆堆型的配套规范体系。</w:t>
      </w:r>
    </w:p>
    <w:p w14:paraId="70920184">
      <w:pPr>
        <w:spacing w:before="240" w:line="360" w:lineRule="auto"/>
        <w:rPr>
          <w:rFonts w:hint="eastAsia" w:ascii="黑体" w:hAnsi="黑体" w:eastAsia="黑体"/>
          <w:kern w:val="0"/>
          <w:sz w:val="24"/>
        </w:rPr>
      </w:pPr>
      <w:r>
        <w:rPr>
          <w:rFonts w:hint="eastAsia" w:ascii="黑体" w:hAnsi="黑体" w:eastAsia="黑体"/>
          <w:kern w:val="0"/>
          <w:sz w:val="24"/>
        </w:rPr>
        <w:t>5</w:t>
      </w:r>
      <w:r>
        <w:rPr>
          <w:rFonts w:ascii="黑体" w:hAnsi="黑体" w:eastAsia="黑体"/>
          <w:kern w:val="0"/>
          <w:sz w:val="24"/>
        </w:rPr>
        <w:t>.2 国外相关标准现状分析</w:t>
      </w:r>
    </w:p>
    <w:p w14:paraId="2C511B1E">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kern w:val="0"/>
          <w:sz w:val="24"/>
        </w:rPr>
        <w:t>国外无相关规范。</w:t>
      </w:r>
      <w:bookmarkStart w:id="5" w:name="OLE_LINK4"/>
      <w:r>
        <w:rPr>
          <w:rFonts w:ascii="Times New Roman" w:hAnsi="Times New Roman" w:eastAsia="宋体" w:cs="Times New Roman"/>
          <w:kern w:val="0"/>
          <w:sz w:val="24"/>
        </w:rPr>
        <w:t>清华大学核能与新能源技术研究院在 HTR-PM 项目</w:t>
      </w:r>
      <w:bookmarkEnd w:id="5"/>
      <w:r>
        <w:rPr>
          <w:rFonts w:ascii="Times New Roman" w:hAnsi="Times New Roman" w:eastAsia="宋体" w:cs="Times New Roman"/>
          <w:kern w:val="0"/>
          <w:sz w:val="24"/>
        </w:rPr>
        <w:t>中曾参考《</w:t>
      </w:r>
      <w:r>
        <w:rPr>
          <w:rFonts w:ascii="Times New Roman" w:hAnsi="Times New Roman" w:eastAsia="宋体" w:cs="Times New Roman"/>
          <w:sz w:val="24"/>
        </w:rPr>
        <w:t>KTA 3232 高温气冷堆压力壳内的陶瓷堆芯支承结构(1992，草案)》</w:t>
      </w:r>
      <w:r>
        <w:rPr>
          <w:rFonts w:ascii="Times New Roman" w:hAnsi="Times New Roman" w:eastAsia="宋体" w:cs="Times New Roman"/>
          <w:kern w:val="0"/>
          <w:sz w:val="24"/>
        </w:rPr>
        <w:t>编制了《HTR-PM石墨堆内构件设备规格书》，本标准将依此设计文件为基础，结合 HTR-PM 石墨堆芯支承结构设计、制造与调试的具体情况，兼顾后续高温气冷堆石墨堆芯支承结构发展的趋势，重新编制《高温气冷堆核动力厂石墨堆芯支承结构设计准则》。</w:t>
      </w:r>
    </w:p>
    <w:p w14:paraId="795446D6">
      <w:pPr>
        <w:numPr>
          <w:ilvl w:val="0"/>
          <w:numId w:val="2"/>
        </w:numPr>
        <w:spacing w:before="240" w:after="240" w:line="360" w:lineRule="auto"/>
        <w:rPr>
          <w:rFonts w:hint="eastAsia"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47FC02DD">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清华大学核能与新能源技术研究院在HTR-PM项目</w:t>
      </w:r>
      <w:r>
        <w:rPr>
          <w:rFonts w:hint="eastAsia" w:ascii="Times New Roman" w:hAnsi="Times New Roman" w:eastAsia="宋体" w:cs="Times New Roman"/>
          <w:sz w:val="24"/>
        </w:rPr>
        <w:t>中得到了成功应用。</w:t>
      </w:r>
    </w:p>
    <w:p w14:paraId="5350EB2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本标准发布后实施可</w:t>
      </w:r>
      <w:r>
        <w:rPr>
          <w:rFonts w:ascii="Times New Roman" w:hAnsi="Times New Roman" w:eastAsia="宋体" w:cs="Times New Roman"/>
          <w:sz w:val="24"/>
        </w:rPr>
        <w:t>为高温气冷堆</w:t>
      </w:r>
      <w:r>
        <w:rPr>
          <w:rFonts w:hint="eastAsia" w:ascii="Times New Roman" w:hAnsi="Times New Roman" w:eastAsia="宋体" w:cs="Times New Roman"/>
          <w:sz w:val="24"/>
        </w:rPr>
        <w:t>石墨</w:t>
      </w:r>
      <w:r>
        <w:rPr>
          <w:rFonts w:ascii="Times New Roman" w:hAnsi="Times New Roman" w:eastAsia="宋体" w:cs="Times New Roman"/>
          <w:sz w:val="24"/>
        </w:rPr>
        <w:t>堆芯支承结构提供</w:t>
      </w:r>
      <w:r>
        <w:rPr>
          <w:rFonts w:hint="eastAsia" w:ascii="Times New Roman" w:hAnsi="Times New Roman" w:eastAsia="宋体" w:cs="Times New Roman"/>
          <w:sz w:val="24"/>
        </w:rPr>
        <w:t>设计准则，</w:t>
      </w:r>
      <w:r>
        <w:rPr>
          <w:rFonts w:ascii="Times New Roman" w:hAnsi="Times New Roman" w:eastAsia="宋体" w:cs="Times New Roman"/>
          <w:sz w:val="24"/>
        </w:rPr>
        <w:t>带动</w:t>
      </w:r>
      <w:r>
        <w:rPr>
          <w:rFonts w:hint="eastAsia" w:ascii="Times New Roman" w:hAnsi="Times New Roman" w:eastAsia="宋体" w:cs="Times New Roman"/>
          <w:sz w:val="24"/>
        </w:rPr>
        <w:t>相关</w:t>
      </w:r>
      <w:r>
        <w:rPr>
          <w:rFonts w:ascii="Times New Roman" w:hAnsi="Times New Roman" w:eastAsia="宋体" w:cs="Times New Roman"/>
          <w:sz w:val="24"/>
        </w:rPr>
        <w:t>产业链发展</w:t>
      </w:r>
      <w:r>
        <w:rPr>
          <w:rFonts w:hint="eastAsia" w:ascii="Times New Roman" w:hAnsi="Times New Roman" w:eastAsia="宋体" w:cs="Times New Roman"/>
          <w:sz w:val="24"/>
        </w:rPr>
        <w:t>，</w:t>
      </w:r>
      <w:r>
        <w:rPr>
          <w:rFonts w:ascii="Times New Roman" w:hAnsi="Times New Roman" w:eastAsia="宋体" w:cs="Times New Roman"/>
          <w:sz w:val="24"/>
        </w:rPr>
        <w:t>是我国高温气冷堆技术走向成熟和产业化的重要里程碑</w:t>
      </w:r>
      <w:r>
        <w:rPr>
          <w:rFonts w:hint="eastAsia" w:ascii="Times New Roman" w:hAnsi="Times New Roman" w:eastAsia="宋体" w:cs="Times New Roman"/>
          <w:sz w:val="24"/>
        </w:rPr>
        <w:t>。</w:t>
      </w:r>
    </w:p>
    <w:p w14:paraId="141BCBBC">
      <w:pPr>
        <w:numPr>
          <w:ilvl w:val="0"/>
          <w:numId w:val="2"/>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hint="eastAsia" w:ascii="黑体" w:hAnsi="宋体"/>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rPr>
        <w:t>及</w:t>
      </w:r>
      <w:r>
        <w:rPr>
          <w:rFonts w:hint="eastAsia" w:ascii="黑体" w:hAnsi="宋体"/>
          <w:sz w:val="24"/>
          <w:szCs w:val="28"/>
          <w:lang w:val="de-DE"/>
        </w:rPr>
        <w:t>导则要求。</w:t>
      </w:r>
    </w:p>
    <w:p w14:paraId="3E093D75">
      <w:pPr>
        <w:numPr>
          <w:ilvl w:val="0"/>
          <w:numId w:val="2"/>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spacing w:line="360" w:lineRule="auto"/>
        <w:ind w:firstLine="480" w:firstLineChars="200"/>
        <w:rPr>
          <w:rFonts w:ascii="黑体"/>
          <w:color w:val="000000" w:themeColor="text1"/>
          <w:sz w:val="28"/>
          <w:szCs w:val="28"/>
        </w:rPr>
      </w:pPr>
      <w:r>
        <w:rPr>
          <w:rFonts w:hint="eastAsia" w:ascii="黑体" w:hAnsi="宋体" w:eastAsia="宋体" w:cs="宋体"/>
          <w:color w:val="000000" w:themeColor="text1"/>
          <w:kern w:val="0"/>
          <w:sz w:val="24"/>
          <w:szCs w:val="28"/>
        </w:rPr>
        <w:t>本标准发布后，建议高温气冷堆等相关设计、运营单位采用。本标准发布后立即实施。</w:t>
      </w:r>
      <w:r>
        <w:rPr>
          <w:rFonts w:ascii="黑体"/>
          <w:color w:val="000000" w:themeColor="text1"/>
          <w:sz w:val="28"/>
          <w:szCs w:val="28"/>
        </w:rPr>
        <w:t xml:space="preserve"> </w:t>
      </w:r>
    </w:p>
    <w:p w14:paraId="3877FF6A">
      <w:pPr>
        <w:numPr>
          <w:ilvl w:val="0"/>
          <w:numId w:val="2"/>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hint="eastAsia"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2"/>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hint="eastAsia" w:ascii="黑体" w:hAnsi="宋体"/>
          <w:sz w:val="24"/>
          <w:szCs w:val="28"/>
          <w:lang w:val="de-DE"/>
        </w:rPr>
      </w:pPr>
      <w:r>
        <w:rPr>
          <w:rFonts w:hint="eastAsia" w:ascii="黑体" w:hAnsi="宋体"/>
          <w:sz w:val="24"/>
          <w:szCs w:val="28"/>
          <w:lang w:val="de-DE"/>
        </w:rPr>
        <w:t>本标准不涉及专利。</w:t>
      </w:r>
    </w:p>
    <w:p w14:paraId="6A0ABF21">
      <w:pPr>
        <w:numPr>
          <w:ilvl w:val="0"/>
          <w:numId w:val="2"/>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hint="eastAsia"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3"/>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3403"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pStyle w:val="35"/>
      <w:suff w:val="nothing"/>
      <w:lvlText w:val="%1.%2.%3.%4　"/>
      <w:lvlJc w:val="left"/>
      <w:pPr>
        <w:ind w:left="0" w:firstLine="0"/>
      </w:pPr>
      <w:rPr>
        <w:rFonts w:hint="eastAsia" w:ascii="黑体" w:hAnsi="Times New Roman" w:eastAsia="黑体"/>
        <w:b w:val="0"/>
        <w:i w:val="0"/>
        <w:sz w:val="21"/>
      </w:rPr>
    </w:lvl>
    <w:lvl w:ilvl="4" w:tentative="0">
      <w:start w:val="1"/>
      <w:numFmt w:val="decimal"/>
      <w:pStyle w:val="36"/>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D5D6A"/>
    <w:rsid w:val="0001035E"/>
    <w:rsid w:val="00020F20"/>
    <w:rsid w:val="00032502"/>
    <w:rsid w:val="000352E2"/>
    <w:rsid w:val="00036EF6"/>
    <w:rsid w:val="00053FEC"/>
    <w:rsid w:val="0006333A"/>
    <w:rsid w:val="0006411B"/>
    <w:rsid w:val="0006596B"/>
    <w:rsid w:val="00066DB3"/>
    <w:rsid w:val="0008573B"/>
    <w:rsid w:val="00087647"/>
    <w:rsid w:val="00091E9C"/>
    <w:rsid w:val="000A366A"/>
    <w:rsid w:val="000E4C1C"/>
    <w:rsid w:val="000E59E1"/>
    <w:rsid w:val="000E6B69"/>
    <w:rsid w:val="000F2FED"/>
    <w:rsid w:val="00120BF8"/>
    <w:rsid w:val="00135FE4"/>
    <w:rsid w:val="00162AC3"/>
    <w:rsid w:val="001662F4"/>
    <w:rsid w:val="00171731"/>
    <w:rsid w:val="0018410B"/>
    <w:rsid w:val="0018750C"/>
    <w:rsid w:val="001A04B6"/>
    <w:rsid w:val="001C3A26"/>
    <w:rsid w:val="001C4ED9"/>
    <w:rsid w:val="001D1932"/>
    <w:rsid w:val="001D1C95"/>
    <w:rsid w:val="001D53B0"/>
    <w:rsid w:val="001D5C80"/>
    <w:rsid w:val="001D7C70"/>
    <w:rsid w:val="001F3979"/>
    <w:rsid w:val="001F78E8"/>
    <w:rsid w:val="00214BC4"/>
    <w:rsid w:val="002248E2"/>
    <w:rsid w:val="00230930"/>
    <w:rsid w:val="00231B37"/>
    <w:rsid w:val="0023271D"/>
    <w:rsid w:val="00255933"/>
    <w:rsid w:val="0026281F"/>
    <w:rsid w:val="00262F65"/>
    <w:rsid w:val="00263F77"/>
    <w:rsid w:val="00271E11"/>
    <w:rsid w:val="00272FB6"/>
    <w:rsid w:val="00277521"/>
    <w:rsid w:val="002837DD"/>
    <w:rsid w:val="002A3631"/>
    <w:rsid w:val="002B4EF8"/>
    <w:rsid w:val="002C70FD"/>
    <w:rsid w:val="002E59EF"/>
    <w:rsid w:val="002E7FC9"/>
    <w:rsid w:val="002F19CD"/>
    <w:rsid w:val="003023D6"/>
    <w:rsid w:val="003054DF"/>
    <w:rsid w:val="00347448"/>
    <w:rsid w:val="003477F4"/>
    <w:rsid w:val="00360720"/>
    <w:rsid w:val="00360880"/>
    <w:rsid w:val="0036585E"/>
    <w:rsid w:val="00374640"/>
    <w:rsid w:val="00376793"/>
    <w:rsid w:val="00377A70"/>
    <w:rsid w:val="00380A66"/>
    <w:rsid w:val="00384434"/>
    <w:rsid w:val="0039353C"/>
    <w:rsid w:val="00397253"/>
    <w:rsid w:val="003A7847"/>
    <w:rsid w:val="003C1750"/>
    <w:rsid w:val="003D5D6A"/>
    <w:rsid w:val="003D6964"/>
    <w:rsid w:val="003D73E7"/>
    <w:rsid w:val="003E0D1B"/>
    <w:rsid w:val="003F4F38"/>
    <w:rsid w:val="0041093F"/>
    <w:rsid w:val="0041513D"/>
    <w:rsid w:val="00421780"/>
    <w:rsid w:val="00434B44"/>
    <w:rsid w:val="004351D2"/>
    <w:rsid w:val="004570FA"/>
    <w:rsid w:val="004629BF"/>
    <w:rsid w:val="004818B1"/>
    <w:rsid w:val="00481A42"/>
    <w:rsid w:val="00482C0B"/>
    <w:rsid w:val="00487D8A"/>
    <w:rsid w:val="0049012E"/>
    <w:rsid w:val="00493B74"/>
    <w:rsid w:val="00494F73"/>
    <w:rsid w:val="004A1390"/>
    <w:rsid w:val="004A39CA"/>
    <w:rsid w:val="004B012F"/>
    <w:rsid w:val="004B1ED8"/>
    <w:rsid w:val="004C1E82"/>
    <w:rsid w:val="004C7572"/>
    <w:rsid w:val="004D5C7C"/>
    <w:rsid w:val="004E1878"/>
    <w:rsid w:val="00501090"/>
    <w:rsid w:val="00510B30"/>
    <w:rsid w:val="0052157D"/>
    <w:rsid w:val="00535B6B"/>
    <w:rsid w:val="005370C6"/>
    <w:rsid w:val="00565379"/>
    <w:rsid w:val="00577081"/>
    <w:rsid w:val="00583F07"/>
    <w:rsid w:val="00592463"/>
    <w:rsid w:val="00593417"/>
    <w:rsid w:val="005C060A"/>
    <w:rsid w:val="005D2B6F"/>
    <w:rsid w:val="005D459D"/>
    <w:rsid w:val="005E7DA2"/>
    <w:rsid w:val="005F1089"/>
    <w:rsid w:val="005F324A"/>
    <w:rsid w:val="006015F7"/>
    <w:rsid w:val="00604D60"/>
    <w:rsid w:val="00624A40"/>
    <w:rsid w:val="00656297"/>
    <w:rsid w:val="006807F9"/>
    <w:rsid w:val="006842A7"/>
    <w:rsid w:val="0069218C"/>
    <w:rsid w:val="006A3ED7"/>
    <w:rsid w:val="006A5A31"/>
    <w:rsid w:val="006B0792"/>
    <w:rsid w:val="006C67AB"/>
    <w:rsid w:val="006D2527"/>
    <w:rsid w:val="006D2A2A"/>
    <w:rsid w:val="006D654C"/>
    <w:rsid w:val="006E39BB"/>
    <w:rsid w:val="006F71DF"/>
    <w:rsid w:val="00726B81"/>
    <w:rsid w:val="0073764F"/>
    <w:rsid w:val="00737BD6"/>
    <w:rsid w:val="00741DD1"/>
    <w:rsid w:val="00762A7F"/>
    <w:rsid w:val="007640A6"/>
    <w:rsid w:val="00765F81"/>
    <w:rsid w:val="007823B4"/>
    <w:rsid w:val="007945C1"/>
    <w:rsid w:val="007C6FFA"/>
    <w:rsid w:val="008049C5"/>
    <w:rsid w:val="00822669"/>
    <w:rsid w:val="0082296F"/>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29B6"/>
    <w:rsid w:val="008E636A"/>
    <w:rsid w:val="00911329"/>
    <w:rsid w:val="00921D08"/>
    <w:rsid w:val="00930ED7"/>
    <w:rsid w:val="00943FCA"/>
    <w:rsid w:val="00944650"/>
    <w:rsid w:val="00946F21"/>
    <w:rsid w:val="00953C06"/>
    <w:rsid w:val="009656CB"/>
    <w:rsid w:val="009666A8"/>
    <w:rsid w:val="0096672D"/>
    <w:rsid w:val="00991817"/>
    <w:rsid w:val="00994ED1"/>
    <w:rsid w:val="009A07E0"/>
    <w:rsid w:val="009A3084"/>
    <w:rsid w:val="009A3AEB"/>
    <w:rsid w:val="009C2184"/>
    <w:rsid w:val="009D47F4"/>
    <w:rsid w:val="009D5501"/>
    <w:rsid w:val="009E1897"/>
    <w:rsid w:val="009F6913"/>
    <w:rsid w:val="00A02C1A"/>
    <w:rsid w:val="00A036B1"/>
    <w:rsid w:val="00A1629E"/>
    <w:rsid w:val="00A23528"/>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6EC0"/>
    <w:rsid w:val="00AD1385"/>
    <w:rsid w:val="00AD342B"/>
    <w:rsid w:val="00AD4BFC"/>
    <w:rsid w:val="00AE2E13"/>
    <w:rsid w:val="00AF611F"/>
    <w:rsid w:val="00B00CFB"/>
    <w:rsid w:val="00B02EB5"/>
    <w:rsid w:val="00B07262"/>
    <w:rsid w:val="00B1176B"/>
    <w:rsid w:val="00B27905"/>
    <w:rsid w:val="00B349BD"/>
    <w:rsid w:val="00B43477"/>
    <w:rsid w:val="00B464BF"/>
    <w:rsid w:val="00B46840"/>
    <w:rsid w:val="00B565BB"/>
    <w:rsid w:val="00B66BA8"/>
    <w:rsid w:val="00B67AB9"/>
    <w:rsid w:val="00B75C75"/>
    <w:rsid w:val="00B80B98"/>
    <w:rsid w:val="00B833F4"/>
    <w:rsid w:val="00B84682"/>
    <w:rsid w:val="00B86AC2"/>
    <w:rsid w:val="00B87C55"/>
    <w:rsid w:val="00B90D7E"/>
    <w:rsid w:val="00B94209"/>
    <w:rsid w:val="00BA5C3D"/>
    <w:rsid w:val="00BB232B"/>
    <w:rsid w:val="00BB5C26"/>
    <w:rsid w:val="00BE5AE0"/>
    <w:rsid w:val="00BF29EA"/>
    <w:rsid w:val="00BF3CE3"/>
    <w:rsid w:val="00BF53A9"/>
    <w:rsid w:val="00C10AE7"/>
    <w:rsid w:val="00C158DF"/>
    <w:rsid w:val="00C37E1D"/>
    <w:rsid w:val="00C37F78"/>
    <w:rsid w:val="00C632FF"/>
    <w:rsid w:val="00C70CFC"/>
    <w:rsid w:val="00C82498"/>
    <w:rsid w:val="00CA1A9A"/>
    <w:rsid w:val="00CB4F95"/>
    <w:rsid w:val="00CC5982"/>
    <w:rsid w:val="00CE54C8"/>
    <w:rsid w:val="00D04AF0"/>
    <w:rsid w:val="00D12DB6"/>
    <w:rsid w:val="00D377FB"/>
    <w:rsid w:val="00D82D77"/>
    <w:rsid w:val="00D86897"/>
    <w:rsid w:val="00D90C74"/>
    <w:rsid w:val="00DA0699"/>
    <w:rsid w:val="00DA0763"/>
    <w:rsid w:val="00DB4FDD"/>
    <w:rsid w:val="00DC337B"/>
    <w:rsid w:val="00DD3CF8"/>
    <w:rsid w:val="00DD4EE0"/>
    <w:rsid w:val="00DE1542"/>
    <w:rsid w:val="00DE6559"/>
    <w:rsid w:val="00E05368"/>
    <w:rsid w:val="00E10B69"/>
    <w:rsid w:val="00E360CB"/>
    <w:rsid w:val="00E36FC3"/>
    <w:rsid w:val="00E62CE6"/>
    <w:rsid w:val="00E76A7B"/>
    <w:rsid w:val="00E90100"/>
    <w:rsid w:val="00E9625E"/>
    <w:rsid w:val="00EA4970"/>
    <w:rsid w:val="00EB22CF"/>
    <w:rsid w:val="00EB3A01"/>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8485D"/>
    <w:rsid w:val="00F90CC9"/>
    <w:rsid w:val="00F915CB"/>
    <w:rsid w:val="00F95E18"/>
    <w:rsid w:val="00FA44BA"/>
    <w:rsid w:val="00FA6510"/>
    <w:rsid w:val="00FC3B05"/>
    <w:rsid w:val="00FD2C1D"/>
    <w:rsid w:val="00FE2DDB"/>
    <w:rsid w:val="00FE741B"/>
    <w:rsid w:val="099044F7"/>
    <w:rsid w:val="26C2687C"/>
    <w:rsid w:val="2C041C52"/>
    <w:rsid w:val="401C0E4D"/>
    <w:rsid w:val="465F41FD"/>
    <w:rsid w:val="4ACB2EAF"/>
    <w:rsid w:val="5B9067AF"/>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 w:type="paragraph" w:customStyle="1" w:styleId="32">
    <w:name w:val="一级条标题"/>
    <w:next w:val="24"/>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3">
    <w:name w:val="章标题"/>
    <w:next w:val="24"/>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4">
    <w:name w:val="二级条标题"/>
    <w:basedOn w:val="32"/>
    <w:next w:val="24"/>
    <w:qFormat/>
    <w:uiPriority w:val="0"/>
    <w:pPr>
      <w:numPr>
        <w:ilvl w:val="2"/>
      </w:numPr>
      <w:spacing w:before="50" w:after="50"/>
      <w:outlineLvl w:val="3"/>
    </w:pPr>
  </w:style>
  <w:style w:type="paragraph" w:customStyle="1" w:styleId="35">
    <w:name w:val="三级条标题"/>
    <w:basedOn w:val="34"/>
    <w:next w:val="24"/>
    <w:qFormat/>
    <w:uiPriority w:val="0"/>
    <w:pPr>
      <w:numPr>
        <w:ilvl w:val="3"/>
      </w:numPr>
      <w:outlineLvl w:val="4"/>
    </w:pPr>
  </w:style>
  <w:style w:type="paragraph" w:customStyle="1" w:styleId="36">
    <w:name w:val="四级条标题"/>
    <w:basedOn w:val="35"/>
    <w:next w:val="24"/>
    <w:qFormat/>
    <w:uiPriority w:val="0"/>
    <w:pPr>
      <w:numPr>
        <w:ilvl w:val="4"/>
      </w:numPr>
      <w:outlineLvl w:val="5"/>
    </w:pPr>
  </w:style>
  <w:style w:type="paragraph" w:customStyle="1" w:styleId="37">
    <w:name w:val="五级条标题"/>
    <w:basedOn w:val="36"/>
    <w:next w:val="24"/>
    <w:qFormat/>
    <w:uiPriority w:val="0"/>
    <w:pPr>
      <w:numPr>
        <w:ilvl w:val="5"/>
      </w:numPr>
      <w:outlineLvl w:val="6"/>
    </w:pPr>
  </w:style>
  <w:style w:type="paragraph" w:customStyle="1" w:styleId="3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2233</Words>
  <Characters>2382</Characters>
  <Lines>84</Lines>
  <Paragraphs>113</Paragraphs>
  <TotalTime>44</TotalTime>
  <ScaleCrop>false</ScaleCrop>
  <LinksUpToDate>false</LinksUpToDate>
  <CharactersWithSpaces>2415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2026-07-13T07:51:24Z</dcterms:modified>
  <dc:title>认可程序说明和背景介绍</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